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1C" w:rsidRPr="00F74A55" w:rsidRDefault="0020471C" w:rsidP="0020471C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3.3</w:t>
      </w:r>
    </w:p>
    <w:p w:rsidR="00E73FA7" w:rsidRDefault="0020471C" w:rsidP="00C5302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20471C" w:rsidRPr="00F74A55" w:rsidRDefault="0020471C" w:rsidP="00C5302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20471C" w:rsidRPr="00984A59" w:rsidTr="00C5302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F2ED8" w:rsidRPr="0020471C" w:rsidRDefault="008F2ED8" w:rsidP="008F2ED8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hyperlink r:id="rId7" w:history="1">
              <w:proofErr w:type="gramStart"/>
              <w:r w:rsidR="00773093" w:rsidRPr="00773093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</w:t>
              </w:r>
              <w:proofErr w:type="gramEnd"/>
              <w:r w:rsidR="00773093" w:rsidRPr="00773093">
                <w:rPr>
                  <w:rStyle w:val="a5"/>
                  <w:b/>
                  <w:color w:val="000000" w:themeColor="text1"/>
                  <w:sz w:val="28"/>
                  <w:szCs w:val="28"/>
                  <w:u w:val="none"/>
                </w:rPr>
                <w:t xml:space="preserve"> при исполнении обязанностей военной службы (служебных обязанностей)</w:t>
              </w:r>
            </w:hyperlink>
          </w:p>
        </w:tc>
      </w:tr>
      <w:tr w:rsidR="0020471C" w:rsidRPr="00984A59" w:rsidTr="00C5302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1C" w:rsidRPr="0020471C" w:rsidRDefault="0020471C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0471C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20471C" w:rsidRPr="0020471C" w:rsidRDefault="0020471C" w:rsidP="0020471C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1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0471C" w:rsidRPr="0020471C" w:rsidRDefault="0020471C" w:rsidP="0020471C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 w:rsidRPr="00204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471C" w:rsidRPr="0020471C" w:rsidRDefault="0020471C" w:rsidP="0020471C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7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медико-реабилитационной экспертной комиссии</w:t>
            </w:r>
            <w:r w:rsidRPr="00204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531" w:rsidRPr="00B91AA8" w:rsidRDefault="0020471C" w:rsidP="00B91AA8">
            <w:pPr>
              <w:pStyle w:val="a6"/>
              <w:numPr>
                <w:ilvl w:val="0"/>
                <w:numId w:val="2"/>
              </w:numPr>
              <w:spacing w:line="280" w:lineRule="exact"/>
              <w:ind w:right="-187" w:hanging="64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20471C">
              <w:rPr>
                <w:color w:val="000000"/>
                <w:sz w:val="28"/>
                <w:szCs w:val="28"/>
                <w:shd w:val="clear" w:color="auto" w:fill="FFFFFF"/>
              </w:rPr>
              <w:t>одна фотография заявителя размером 30 х 40 мм</w:t>
            </w:r>
            <w:r w:rsidRPr="0020471C">
              <w:rPr>
                <w:sz w:val="28"/>
                <w:szCs w:val="28"/>
              </w:rPr>
              <w:t>.</w:t>
            </w:r>
          </w:p>
        </w:tc>
      </w:tr>
      <w:tr w:rsidR="0020471C" w:rsidRPr="00984A59" w:rsidTr="00C5302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C" w:rsidRPr="0020471C" w:rsidRDefault="0020471C" w:rsidP="00C5302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0471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20471C" w:rsidRPr="0020471C" w:rsidRDefault="0020471C" w:rsidP="0020471C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20471C">
              <w:rPr>
                <w:sz w:val="28"/>
                <w:szCs w:val="28"/>
              </w:rPr>
              <w:t>бесплатно</w:t>
            </w:r>
          </w:p>
        </w:tc>
      </w:tr>
      <w:tr w:rsidR="0020471C" w:rsidRPr="00984A59" w:rsidTr="00C5302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1C" w:rsidRPr="0020471C" w:rsidRDefault="0020471C" w:rsidP="00C5302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0471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7F149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20471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20471C" w:rsidRPr="0020471C" w:rsidRDefault="0020471C" w:rsidP="0020471C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0471C">
              <w:rPr>
                <w:sz w:val="28"/>
                <w:szCs w:val="28"/>
              </w:rPr>
              <w:t>5 рабочих дней со дня подачи заявления</w:t>
            </w:r>
          </w:p>
        </w:tc>
      </w:tr>
      <w:tr w:rsidR="0020471C" w:rsidRPr="00984A59" w:rsidTr="00C5302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C" w:rsidRPr="0020471C" w:rsidRDefault="007F1491" w:rsidP="00C530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bookmarkStart w:id="0" w:name="_GoBack"/>
            <w:bookmarkEnd w:id="0"/>
            <w:r w:rsidR="0020471C" w:rsidRPr="0020471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20471C" w:rsidRPr="0020471C" w:rsidRDefault="0020471C" w:rsidP="000D1141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0471C">
              <w:rPr>
                <w:sz w:val="28"/>
                <w:szCs w:val="28"/>
              </w:rPr>
              <w:t>на срок установления инвалидности</w:t>
            </w:r>
          </w:p>
        </w:tc>
      </w:tr>
      <w:tr w:rsidR="0020471C" w:rsidRPr="00984A59" w:rsidTr="00C5302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C" w:rsidRPr="0020471C" w:rsidRDefault="0020471C" w:rsidP="00C5302D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20471C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20471C" w:rsidRPr="0020471C" w:rsidRDefault="00EC078A" w:rsidP="000D114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rPr>
                <w:sz w:val="28"/>
                <w:szCs w:val="28"/>
              </w:rPr>
            </w:pPr>
            <w:r w:rsidRPr="00F578AE">
              <w:rPr>
                <w:sz w:val="28"/>
                <w:szCs w:val="28"/>
              </w:rPr>
              <w:t>Указ Президента Республики Бе</w:t>
            </w:r>
            <w:r>
              <w:rPr>
                <w:sz w:val="28"/>
                <w:szCs w:val="28"/>
              </w:rPr>
              <w:t>ларусь от 26 апреля 2010 г. № 200</w:t>
            </w:r>
            <w:r w:rsidRPr="00F578AE">
              <w:rPr>
                <w:sz w:val="28"/>
                <w:szCs w:val="28"/>
              </w:rPr>
              <w:t xml:space="preserve"> «</w:t>
            </w:r>
            <w:r w:rsidRPr="00CA2A62">
              <w:rPr>
                <w:sz w:val="28"/>
                <w:szCs w:val="28"/>
              </w:rPr>
              <w:t>Об административных процедурах, осуществляемых государственными органами и иными организациями по заявлениям граждан</w:t>
            </w:r>
            <w:r w:rsidRPr="00F578AE">
              <w:rPr>
                <w:sz w:val="28"/>
                <w:szCs w:val="28"/>
              </w:rPr>
              <w:t>;</w:t>
            </w:r>
          </w:p>
        </w:tc>
      </w:tr>
    </w:tbl>
    <w:p w:rsidR="00C5302D" w:rsidRDefault="00C5302D" w:rsidP="00C5302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E7DA9" w:rsidRDefault="00FE7DA9"/>
    <w:p w:rsidR="00E73FA7" w:rsidRDefault="00E73FA7"/>
    <w:p w:rsidR="00E73FA7" w:rsidRDefault="00E73FA7"/>
    <w:p w:rsidR="00E73FA7" w:rsidRDefault="00E73FA7"/>
    <w:p w:rsidR="00E73FA7" w:rsidRDefault="00E73FA7"/>
    <w:p w:rsidR="00E73FA7" w:rsidRDefault="00E73FA7"/>
    <w:p w:rsidR="00E73FA7" w:rsidRDefault="00E73FA7"/>
    <w:p w:rsidR="00E73FA7" w:rsidRDefault="00E73FA7"/>
    <w:p w:rsidR="00E73FA7" w:rsidRDefault="00E73FA7"/>
    <w:tbl>
      <w:tblPr>
        <w:tblW w:w="0" w:type="auto"/>
        <w:tblInd w:w="3540" w:type="dxa"/>
        <w:tblLook w:val="04A0" w:firstRow="1" w:lastRow="0" w:firstColumn="1" w:lastColumn="0" w:noHBand="0" w:noVBand="1"/>
      </w:tblPr>
      <w:tblGrid>
        <w:gridCol w:w="6599"/>
      </w:tblGrid>
      <w:tr w:rsidR="00FE7DA9" w:rsidRPr="00FE7DA9" w:rsidTr="00FE7DA9">
        <w:tc>
          <w:tcPr>
            <w:tcW w:w="6031" w:type="dxa"/>
            <w:hideMark/>
          </w:tcPr>
          <w:p w:rsidR="00E73FA7" w:rsidRDefault="00FE7DA9" w:rsidP="00E73FA7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</w:t>
            </w:r>
            <w:r w:rsidR="00E73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</w:t>
            </w: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E73F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FE7DA9" w:rsidRPr="00FE7DA9" w:rsidRDefault="00FE7DA9" w:rsidP="00E73FA7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Ленинского  района </w:t>
            </w:r>
            <w:proofErr w:type="spellStart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обруйска</w:t>
            </w:r>
            <w:proofErr w:type="spellEnd"/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FE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заинтересованного лица)</w:t>
            </w:r>
          </w:p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</w:t>
            </w:r>
          </w:p>
        </w:tc>
      </w:tr>
      <w:tr w:rsidR="00FE7DA9" w:rsidRPr="00FE7DA9" w:rsidTr="00FE7DA9">
        <w:tc>
          <w:tcPr>
            <w:tcW w:w="6031" w:type="dxa"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FE7DA9" w:rsidRPr="00FE7DA9" w:rsidTr="00FE7DA9">
        <w:tc>
          <w:tcPr>
            <w:tcW w:w="6031" w:type="dxa"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FE7DA9" w:rsidRPr="00FE7DA9" w:rsidTr="00FE7DA9">
        <w:tc>
          <w:tcPr>
            <w:tcW w:w="6031" w:type="dxa"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(кем и когда 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E7DA9" w:rsidRPr="00FE7DA9" w:rsidTr="00FE7DA9">
        <w:tc>
          <w:tcPr>
            <w:tcW w:w="6031" w:type="dxa"/>
            <w:hideMark/>
          </w:tcPr>
          <w:p w:rsidR="00FE7DA9" w:rsidRPr="00FE7DA9" w:rsidRDefault="00FE7DA9" w:rsidP="00FE7DA9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FE7DA9" w:rsidRPr="00FE7DA9" w:rsidRDefault="00FE7DA9" w:rsidP="00FE7DA9">
      <w:pPr>
        <w:tabs>
          <w:tab w:val="left" w:pos="3756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E7DA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FE7DA9" w:rsidRPr="00FE7DA9" w:rsidRDefault="00FE7DA9" w:rsidP="00FE7DA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7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FE7DA9" w:rsidRPr="00FE7DA9" w:rsidRDefault="00FE7DA9" w:rsidP="00FE7DA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FE7DA9">
        <w:rPr>
          <w:rFonts w:ascii="Times New Roman" w:eastAsia="Times New Roman" w:hAnsi="Times New Roman" w:cs="Times New Roman"/>
          <w:b/>
          <w:szCs w:val="24"/>
          <w:lang w:eastAsia="ru-RU"/>
        </w:rPr>
        <w:t>на выдачу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</w:t>
      </w:r>
      <w:proofErr w:type="gramEnd"/>
      <w:r w:rsidRPr="00FE7DA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Pr="00FE7DA9">
        <w:rPr>
          <w:rFonts w:ascii="Times New Roman" w:eastAsia="Times New Roman" w:hAnsi="Times New Roman" w:cs="Times New Roman"/>
          <w:b/>
          <w:szCs w:val="24"/>
          <w:lang w:eastAsia="ru-RU"/>
        </w:rPr>
        <w:t>обязанностей военной службы (служебных обязанностей</w:t>
      </w:r>
      <w:proofErr w:type="gramEnd"/>
    </w:p>
    <w:p w:rsidR="00FE7DA9" w:rsidRPr="00FE7DA9" w:rsidRDefault="00FE7DA9" w:rsidP="00FE7DA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7DA9" w:rsidRPr="00FE7DA9" w:rsidRDefault="00FE7DA9" w:rsidP="00FE7DA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  выдать   мне  удостоверение</w:t>
      </w:r>
      <w:r w:rsidRPr="00FE7D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инвалида о праве на льготы для инвалидов боевых действий на территории других государств, а также граждан, в том числе уволенных в запас (отставку)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</w:t>
      </w:r>
      <w:proofErr w:type="gramEnd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исполнении обязанностей военной службы (служебных обязанностей)</w:t>
      </w:r>
      <w:proofErr w:type="gramStart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>,в</w:t>
      </w:r>
      <w:proofErr w:type="gramEnd"/>
      <w:r w:rsidRPr="00FE7D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 (указать причину выдачи)___________________________________________________________</w:t>
      </w:r>
    </w:p>
    <w:p w:rsidR="00FE7DA9" w:rsidRPr="00FE7DA9" w:rsidRDefault="00FE7DA9" w:rsidP="00FE7DA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7DA9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</w:t>
      </w:r>
    </w:p>
    <w:p w:rsidR="00FE7DA9" w:rsidRPr="00FE7DA9" w:rsidRDefault="00FE7DA9" w:rsidP="00FE7DA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FE7DA9" w:rsidRPr="00FE7DA9" w:rsidRDefault="00FE7DA9" w:rsidP="00F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7DA9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FE7DA9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FE7DA9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FE7D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FE7DA9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DA9" w:rsidRPr="00FE7DA9" w:rsidRDefault="00FE7DA9" w:rsidP="00FE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FE7DA9" w:rsidRPr="00FE7DA9" w:rsidTr="00FE7DA9">
        <w:trPr>
          <w:trHeight w:val="3152"/>
        </w:trPr>
        <w:tc>
          <w:tcPr>
            <w:tcW w:w="4962" w:type="dxa"/>
            <w:hideMark/>
          </w:tcPr>
          <w:p w:rsidR="00FE7DA9" w:rsidRPr="00FE7DA9" w:rsidRDefault="00FE7DA9" w:rsidP="00FE7D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E7DA9" w:rsidRPr="00FE7DA9" w:rsidRDefault="00E73FA7" w:rsidP="00FE7DA9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УСЗ а</w:t>
            </w:r>
            <w:r w:rsidR="00FE7DA9"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</w:t>
            </w:r>
            <w:r w:rsidR="00FE7DA9"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Ленинского </w:t>
            </w:r>
          </w:p>
          <w:p w:rsidR="00FE7DA9" w:rsidRPr="00FE7DA9" w:rsidRDefault="00FE7DA9" w:rsidP="00FE7DA9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района г. Бобруйска</w:t>
            </w:r>
          </w:p>
          <w:p w:rsidR="00FE7DA9" w:rsidRPr="00FE7DA9" w:rsidRDefault="00FE7DA9" w:rsidP="00FE7DA9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FE7DA9" w:rsidRPr="00FE7DA9" w:rsidRDefault="00FE7DA9" w:rsidP="00FE7DA9">
            <w:pPr>
              <w:tabs>
                <w:tab w:val="center" w:pos="4819"/>
                <w:tab w:val="right" w:pos="9638"/>
              </w:tabs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Иванова Ивана Ивановича         </w:t>
            </w:r>
            <w:r w:rsidRPr="00FE7DA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проживающей(го)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г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.Б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обруйск              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 xml:space="preserve"> ,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ул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.К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расноармейская, д.10, кв.58   </w:t>
            </w:r>
          </w:p>
          <w:p w:rsidR="00FE7DA9" w:rsidRPr="00FE7DA9" w:rsidRDefault="00FE7DA9" w:rsidP="00FE7DA9">
            <w:pPr>
              <w:tabs>
                <w:tab w:val="center" w:pos="4819"/>
                <w:tab w:val="right" w:pos="9638"/>
              </w:tabs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зарегистрированный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>0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 г</w:t>
            </w:r>
            <w:proofErr w:type="gramStart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.Б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обруйск              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 xml:space="preserve"> ,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ул.Красноармейская, д.10, кв.58   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Паспорт </w:t>
            </w:r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серия КВ 0123456            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личный номер паспорта_________________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proofErr w:type="gramStart"/>
            <w:r w:rsidRPr="00FE7DA9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Выдан</w:t>
            </w:r>
            <w:proofErr w:type="gramEnd"/>
            <w:r w:rsidRPr="00FE7DA9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 </w:t>
            </w:r>
            <w:proofErr w:type="spellStart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Славгородским</w:t>
            </w:r>
            <w:proofErr w:type="spellEnd"/>
            <w:r w:rsidRPr="00FE7DA9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 РОВД, 04.07.2012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FE7DA9"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  <w:lang w:eastAsia="ru-RU"/>
              </w:rPr>
              <w:t>Тел. 8 029 1111111</w:t>
            </w: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DA9" w:rsidRPr="00FE7DA9" w:rsidRDefault="00FE7DA9" w:rsidP="00FE7DA9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DA9" w:rsidRPr="00FE7DA9" w:rsidRDefault="00FE7DA9" w:rsidP="00FE7DA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FE7DA9" w:rsidRPr="00FE7DA9" w:rsidRDefault="00FE7DA9" w:rsidP="00FE7DA9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FE7DA9" w:rsidRPr="00FE7DA9" w:rsidRDefault="00FE7DA9" w:rsidP="00FE7DA9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инвалида о праве на льготы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контузии, увечья или</w:t>
      </w:r>
      <w:proofErr w:type="gramEnd"/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заболевания, полученных при исполнении обязанностей военной службы (служебных обязанностей).</w:t>
      </w:r>
    </w:p>
    <w:p w:rsidR="00FE7DA9" w:rsidRPr="00FE7DA9" w:rsidRDefault="00FE7DA9" w:rsidP="00FE7DA9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7DA9" w:rsidRPr="00FE7DA9" w:rsidRDefault="00FE7DA9" w:rsidP="00FE7DA9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7DA9" w:rsidRPr="00FE7DA9" w:rsidRDefault="00FE7DA9" w:rsidP="00FE7DA9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FE7DA9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FE7DA9" w:rsidRDefault="00FE7DA9"/>
    <w:sectPr w:rsidR="00FE7DA9" w:rsidSect="00C5302D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71C"/>
    <w:rsid w:val="0020471C"/>
    <w:rsid w:val="0040071A"/>
    <w:rsid w:val="006E5636"/>
    <w:rsid w:val="00773093"/>
    <w:rsid w:val="007B401F"/>
    <w:rsid w:val="007F1491"/>
    <w:rsid w:val="008F2ED8"/>
    <w:rsid w:val="00B91AA8"/>
    <w:rsid w:val="00C5302D"/>
    <w:rsid w:val="00DC2B9D"/>
    <w:rsid w:val="00E71531"/>
    <w:rsid w:val="00E73FA7"/>
    <w:rsid w:val="00EC078A"/>
    <w:rsid w:val="00FE7DA9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0471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0471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71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0471C"/>
    <w:rPr>
      <w:b/>
      <w:bCs/>
    </w:rPr>
  </w:style>
  <w:style w:type="paragraph" w:styleId="a4">
    <w:name w:val="Normal (Web)"/>
    <w:basedOn w:val="a"/>
    <w:rsid w:val="002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47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4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semiHidden/>
    <w:locked/>
    <w:rsid w:val="0020471C"/>
  </w:style>
  <w:style w:type="paragraph" w:customStyle="1" w:styleId="table100">
    <w:name w:val="table10"/>
    <w:basedOn w:val="a"/>
    <w:link w:val="table10"/>
    <w:uiPriority w:val="99"/>
    <w:semiHidden/>
    <w:rsid w:val="00204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pr.gov.by/data/ap/ap-3.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7E1D-B893-488B-9E8C-879AF793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2021-05-30T16:17:00Z</dcterms:created>
  <dcterms:modified xsi:type="dcterms:W3CDTF">2022-09-21T18:23:00Z</dcterms:modified>
</cp:coreProperties>
</file>